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36" w:rsidRPr="00125C36" w:rsidRDefault="00D730B3" w:rsidP="00220C34">
      <w:pPr>
        <w:pStyle w:val="Nadpis2"/>
        <w:spacing w:beforeLines="40" w:afterLines="40"/>
        <w:rPr>
          <w:sz w:val="28"/>
          <w:szCs w:val="28"/>
        </w:rPr>
      </w:pPr>
      <w:bookmarkStart w:id="0" w:name="_GoBack"/>
      <w:bookmarkEnd w:id="0"/>
      <w:r w:rsidRPr="00125C36">
        <w:rPr>
          <w:sz w:val="28"/>
          <w:szCs w:val="28"/>
        </w:rPr>
        <w:t xml:space="preserve">Příloha č. 1 nařízení </w:t>
      </w:r>
      <w:r w:rsidR="002D06FF" w:rsidRPr="00125C36">
        <w:rPr>
          <w:sz w:val="28"/>
          <w:szCs w:val="28"/>
        </w:rPr>
        <w:t>Krajské</w:t>
      </w:r>
      <w:r w:rsidRPr="00125C36">
        <w:rPr>
          <w:sz w:val="28"/>
          <w:szCs w:val="28"/>
        </w:rPr>
        <w:t xml:space="preserve"> veterinární správy </w:t>
      </w:r>
      <w:r w:rsidR="002D06FF" w:rsidRPr="00125C36">
        <w:rPr>
          <w:sz w:val="28"/>
          <w:szCs w:val="28"/>
        </w:rPr>
        <w:t xml:space="preserve">SVS pro Jihočeský kraj </w:t>
      </w:r>
    </w:p>
    <w:p w:rsidR="00A25390" w:rsidRPr="00125C36" w:rsidRDefault="00D730B3" w:rsidP="00220C34">
      <w:pPr>
        <w:pStyle w:val="Nadpis2"/>
        <w:spacing w:beforeLines="40" w:afterLines="40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1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Content>
          <w:r w:rsidR="002D06FF" w:rsidRPr="00125C36">
            <w:rPr>
              <w:sz w:val="28"/>
              <w:szCs w:val="28"/>
            </w:rPr>
            <w:t>SVS/2022/157679-C</w:t>
          </w:r>
        </w:sdtContent>
      </w:sdt>
      <w:bookmarkEnd w:id="1"/>
    </w:p>
    <w:p w:rsidR="00CC1638" w:rsidRPr="00CC1638" w:rsidRDefault="00CC1638" w:rsidP="00CC1638"/>
    <w:p w:rsidR="00A7492E" w:rsidRDefault="00FC72D9" w:rsidP="00220C34">
      <w:pPr>
        <w:pStyle w:val="Nadpis2"/>
        <w:spacing w:beforeLines="40" w:afterLines="40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Default="00932907" w:rsidP="00932907"/>
    <w:p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17"/>
      </w:tblGrid>
      <w:tr w:rsidR="00E50503" w:rsidRPr="00662E2A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:rsidR="00E50503" w:rsidRPr="00DB545C" w:rsidRDefault="00E50503" w:rsidP="00220C34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:rsidR="00E50503" w:rsidRPr="00DB545C" w:rsidRDefault="00E50503" w:rsidP="00220C34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:rsidR="00E50503" w:rsidRPr="003B153F" w:rsidRDefault="002C1E9E" w:rsidP="00220C34">
            <w:pPr>
              <w:autoSpaceDE w:val="0"/>
              <w:autoSpaceDN w:val="0"/>
              <w:adjustRightInd w:val="0"/>
              <w:spacing w:beforeLines="40" w:afterLines="4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:rsidR="00E50503" w:rsidRPr="00DB545C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50503" w:rsidRDefault="00E50503" w:rsidP="00932907"/>
    <w:p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81"/>
        <w:gridCol w:w="1415"/>
      </w:tblGrid>
      <w:tr w:rsidR="00E50503" w:rsidRPr="00662E2A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24A73" w:rsidRDefault="00E50503" w:rsidP="00220C34">
            <w:pPr>
              <w:pStyle w:val="Nadpis7"/>
              <w:spacing w:before="96" w:after="96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20C34">
            <w:pPr>
              <w:pStyle w:val="Nadpis7"/>
              <w:spacing w:before="96" w:after="96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220C34">
            <w:pPr>
              <w:autoSpaceDE w:val="0"/>
              <w:autoSpaceDN w:val="0"/>
              <w:adjustRightInd w:val="0"/>
              <w:spacing w:beforeLines="40" w:afterLines="40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220C34">
            <w:pPr>
              <w:pStyle w:val="Nadpis7"/>
              <w:spacing w:before="96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220C34">
            <w:pPr>
              <w:autoSpaceDE w:val="0"/>
              <w:autoSpaceDN w:val="0"/>
              <w:adjustRightInd w:val="0"/>
              <w:spacing w:beforeLines="40" w:afterLines="40"/>
            </w:pPr>
          </w:p>
        </w:tc>
      </w:tr>
    </w:tbl>
    <w:p w:rsidR="00A7492E" w:rsidRDefault="00A7492E"/>
    <w:p w:rsidR="00DF775E" w:rsidRPr="00662E2A" w:rsidRDefault="00DF775E"/>
    <w:p w:rsidR="00125C36" w:rsidRDefault="00125C36"/>
    <w:p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:rsidR="00F349A9" w:rsidRPr="00F349A9" w:rsidRDefault="00F349A9" w:rsidP="00F349A9">
      <w:pPr>
        <w:ind w:left="4248"/>
        <w:jc w:val="center"/>
      </w:pPr>
      <w:r>
        <w:t>Podpis chovatele</w:t>
      </w:r>
    </w:p>
    <w:p w:rsidR="008463DC" w:rsidRPr="008463DC" w:rsidRDefault="008463DC" w:rsidP="008463DC"/>
    <w:p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11" w:rsidRDefault="00B74311">
      <w:r>
        <w:separator/>
      </w:r>
    </w:p>
  </w:endnote>
  <w:endnote w:type="continuationSeparator" w:id="1">
    <w:p w:rsidR="00B74311" w:rsidRDefault="00B7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11" w:rsidRDefault="00B74311">
      <w:r>
        <w:separator/>
      </w:r>
    </w:p>
  </w:footnote>
  <w:footnote w:type="continuationSeparator" w:id="1">
    <w:p w:rsidR="00B74311" w:rsidRDefault="00B7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C34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74311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84B46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B46"/>
  </w:style>
  <w:style w:type="paragraph" w:styleId="Nadpis1">
    <w:name w:val="heading 1"/>
    <w:basedOn w:val="Normln"/>
    <w:next w:val="Normln"/>
    <w:qFormat/>
    <w:rsid w:val="00C84B46"/>
    <w:pPr>
      <w:keepNext/>
      <w:autoSpaceDE w:val="0"/>
      <w:autoSpaceDN w:val="0"/>
      <w:adjustRightInd w:val="0"/>
      <w:spacing w:beforeLines="40" w:afterLines="40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C84B46"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rsid w:val="00C84B4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84B46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C84B46"/>
    <w:pPr>
      <w:keepNext/>
      <w:autoSpaceDE w:val="0"/>
      <w:autoSpaceDN w:val="0"/>
      <w:adjustRightInd w:val="0"/>
      <w:spacing w:beforeLines="40" w:afterLines="40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rsid w:val="00C84B46"/>
    <w:pPr>
      <w:keepNext/>
      <w:autoSpaceDE w:val="0"/>
      <w:autoSpaceDN w:val="0"/>
      <w:adjustRightInd w:val="0"/>
      <w:spacing w:beforeLines="40" w:afterLines="40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rsid w:val="00C84B46"/>
    <w:pPr>
      <w:keepNext/>
      <w:autoSpaceDE w:val="0"/>
      <w:autoSpaceDN w:val="0"/>
      <w:adjustRightInd w:val="0"/>
      <w:spacing w:beforeLines="40" w:afterLines="40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rsid w:val="00C84B46"/>
    <w:pPr>
      <w:keepNext/>
      <w:autoSpaceDE w:val="0"/>
      <w:autoSpaceDN w:val="0"/>
      <w:adjustRightInd w:val="0"/>
      <w:spacing w:beforeLines="40" w:afterLines="40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F1E25"/>
    <w:rsid w:val="00124A29"/>
    <w:rsid w:val="00667D1C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6583-D5C0-4B0C-B7F2-FECA3C16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OU Lom</cp:lastModifiedBy>
  <cp:revision>2</cp:revision>
  <cp:lastPrinted>2020-11-13T06:12:00Z</cp:lastPrinted>
  <dcterms:created xsi:type="dcterms:W3CDTF">2023-01-05T18:17:00Z</dcterms:created>
  <dcterms:modified xsi:type="dcterms:W3CDTF">2023-01-05T18:17:00Z</dcterms:modified>
</cp:coreProperties>
</file>